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Устанавливать MobileLogistics и drvupdate нужно под консолью!!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После установки MobileLogistics и drvupdate, необходимо: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зайти в службы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найти 2 службы: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- возможности подключения устройств на платформе Windows Mobile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- возможности подключения устройств на платформе Windows Mobile-2003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3.в каждой службе, на вкладке вход в систему, выставить: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Вход в систему: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*с системной учетной записью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v Разрешить взаимодействие с рабочим столом.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перезапустить службы.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В параметрах подключения устройств windows mobile, нужно поставить галочку"разрешить  подключения для передачи данных на устройства при подключении к ПК"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 Также, незабываем в 1С в настройках подключения ТСД выставить порт TCP/IP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Xng+rjsXDvqYyFgwLziv/Mj5g==">AMUW2mWRsLsYXBC9K4qRkY/GK8NQCf1s2R2G0yoa8+HaBKc6EXMsJ9lprflL4rnDijtUZzSraS8gVmpxHVkA29rgu8G7yMQFKqqAFRcXnY88AOL/ZrqAEWz86nmMA6/sQ/YBcGO4aGIO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2021-02-12T07:47:00Z</dcterms:created>
  <dc:creator>1</dc:creator>
</cp:coreProperties>
</file>